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157480</wp:posOffset>
            </wp:positionH>
            <wp:positionV relativeFrom="page">
              <wp:posOffset>226060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260350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2" w:lineRule="exact"/>
        <w:rPr>
          <w:sz w:val="24"/>
          <w:szCs w:val="24"/>
          <w:color w:val="auto"/>
        </w:rPr>
      </w:pPr>
    </w:p>
    <w:p>
      <w:pPr>
        <w:ind w:left="5100"/>
        <w:spacing w:after="0"/>
        <w:rPr>
          <w:sz w:val="20"/>
          <w:szCs w:val="20"/>
          <w:color w:val="auto"/>
        </w:rPr>
      </w:pPr>
      <w:r>
        <w:rPr>
          <w:rFonts w:ascii="Arial" w:cs="Arial" w:eastAsia="Arial" w:hAnsi="Arial"/>
          <w:sz w:val="25"/>
          <w:szCs w:val="25"/>
          <w:b w:val="1"/>
          <w:bCs w:val="1"/>
          <w:color w:val="auto"/>
        </w:rPr>
        <w:t>FORM 6-K</w:t>
      </w:r>
    </w:p>
    <w:p>
      <w:pPr>
        <w:spacing w:after="0" w:line="200" w:lineRule="exact"/>
        <w:rPr>
          <w:sz w:val="24"/>
          <w:szCs w:val="24"/>
          <w:color w:val="auto"/>
        </w:rPr>
      </w:pPr>
    </w:p>
    <w:p>
      <w:pPr>
        <w:spacing w:after="0" w:line="250"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ind w:left="4500"/>
        <w:spacing w:after="0"/>
        <w:rPr>
          <w:sz w:val="20"/>
          <w:szCs w:val="20"/>
          <w:color w:val="auto"/>
        </w:rPr>
      </w:pPr>
      <w:r>
        <w:rPr>
          <w:rFonts w:ascii="Arial" w:cs="Arial" w:eastAsia="Arial" w:hAnsi="Arial"/>
          <w:sz w:val="18"/>
          <w:szCs w:val="18"/>
          <w:color w:val="auto"/>
        </w:rPr>
        <w:t>For the month of December, 2017</w:t>
      </w:r>
    </w:p>
    <w:p>
      <w:pPr>
        <w:spacing w:after="0" w:line="225" w:lineRule="exact"/>
        <w:rPr>
          <w:sz w:val="24"/>
          <w:szCs w:val="24"/>
          <w:color w:val="auto"/>
        </w:rPr>
      </w:pPr>
    </w:p>
    <w:p>
      <w:pPr>
        <w:ind w:left="4460"/>
        <w:spacing w:after="0"/>
        <w:rPr>
          <w:sz w:val="20"/>
          <w:szCs w:val="20"/>
          <w:color w:val="auto"/>
        </w:rPr>
      </w:pPr>
      <w:r>
        <w:rPr>
          <w:rFonts w:ascii="Arial" w:cs="Arial" w:eastAsia="Arial" w:hAnsi="Arial"/>
          <w:sz w:val="18"/>
          <w:szCs w:val="18"/>
          <w:color w:val="auto"/>
        </w:rPr>
        <w:t>Commission File Number 1-11414</w:t>
      </w:r>
    </w:p>
    <w:p>
      <w:pPr>
        <w:spacing w:after="0" w:line="200" w:lineRule="exact"/>
        <w:rPr>
          <w:sz w:val="24"/>
          <w:szCs w:val="24"/>
          <w:color w:val="auto"/>
        </w:rPr>
      </w:pPr>
    </w:p>
    <w:p>
      <w:pPr>
        <w:spacing w:after="0" w:line="233"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ind w:left="4020"/>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ind w:left="4660" w:right="1719" w:hanging="4655"/>
        <w:spacing w:after="0" w:line="233" w:lineRule="exact"/>
        <w:rPr>
          <w:sz w:val="20"/>
          <w:szCs w:val="20"/>
          <w:color w:val="auto"/>
        </w:rPr>
      </w:pPr>
      <w:r>
        <w:rPr>
          <w:rFonts w:ascii="Arial" w:cs="Arial" w:eastAsia="Arial" w:hAnsi="Arial"/>
          <w:sz w:val="18"/>
          <w:szCs w:val="18"/>
          <w:color w:val="auto"/>
        </w:rPr>
        <w:t xml:space="preserve">Indicate by check mark whether the registrant files or will file annual reports under cover of Form 20-F or Form 40-F. 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18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35" w:lineRule="exact"/>
        <w:rPr>
          <w:sz w:val="24"/>
          <w:szCs w:val="24"/>
          <w:color w:val="auto"/>
        </w:rPr>
      </w:pPr>
    </w:p>
    <w:p>
      <w:pPr>
        <w:ind w:left="522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11"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35" w:lineRule="exact"/>
        <w:rPr>
          <w:sz w:val="24"/>
          <w:szCs w:val="24"/>
          <w:color w:val="auto"/>
        </w:rPr>
      </w:pPr>
    </w:p>
    <w:p>
      <w:pPr>
        <w:ind w:left="522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177165</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194310</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511810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702"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Date: December 18, 2017</w:t>
      </w:r>
    </w:p>
    <w:p>
      <w:pPr>
        <w:spacing w:after="0" w:line="23"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554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54" w:lineRule="exact"/>
        <w:rPr>
          <w:sz w:val="20"/>
          <w:szCs w:val="20"/>
          <w:color w:val="auto"/>
        </w:rPr>
      </w:pPr>
    </w:p>
    <w:p>
      <w:pPr>
        <w:ind w:left="6280"/>
        <w:spacing w:after="0"/>
        <w:tabs>
          <w:tab w:leader="none" w:pos="68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Pierre Dulin</w:t>
      </w:r>
    </w:p>
    <w:p>
      <w:pPr>
        <w:spacing w:after="0" w:line="225" w:lineRule="exact"/>
        <w:rPr>
          <w:sz w:val="20"/>
          <w:szCs w:val="20"/>
          <w:color w:val="auto"/>
        </w:rPr>
      </w:pPr>
    </w:p>
    <w:p>
      <w:pPr>
        <w:ind w:left="628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6280"/>
        <w:spacing w:after="0"/>
        <w:tabs>
          <w:tab w:leader="none" w:pos="6840" w:val="left"/>
        </w:tabs>
        <w:rPr>
          <w:sz w:val="20"/>
          <w:szCs w:val="20"/>
          <w:color w:val="auto"/>
        </w:rPr>
      </w:pPr>
      <w:r>
        <w:rPr>
          <w:rFonts w:ascii="Arial" w:cs="Arial" w:eastAsia="Arial" w:hAnsi="Arial"/>
          <w:sz w:val="18"/>
          <w:szCs w:val="18"/>
          <w:color w:val="auto"/>
        </w:rPr>
        <w:t>Title:</w:t>
        <w:tab/>
        <w:t>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451485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rPr>
          <w:sz w:val="20"/>
          <w:szCs w:val="20"/>
          <w:color w:val="auto"/>
        </w:rPr>
      </w:pPr>
      <w:r>
        <w:rPr>
          <w:rFonts w:ascii="Arial" w:cs="Arial" w:eastAsia="Arial" w:hAnsi="Arial"/>
          <w:sz w:val="18"/>
          <w:szCs w:val="18"/>
          <w:b w:val="1"/>
          <w:bCs w:val="1"/>
          <w:color w:val="auto"/>
        </w:rPr>
        <w:t>FOR IMMEDIATE RELEASE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2869565</wp:posOffset>
            </wp:positionH>
            <wp:positionV relativeFrom="paragraph">
              <wp:posOffset>154940</wp:posOffset>
            </wp:positionV>
            <wp:extent cx="1543685" cy="9264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543685" cy="9264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THE DEPARTURE OF MR. CHRISTOPHER SCHECH, CHIEF FINANCIAL OFFICER</w:t>
      </w:r>
    </w:p>
    <w:p>
      <w:pPr>
        <w:spacing w:after="0" w:line="225" w:lineRule="exact"/>
        <w:rPr>
          <w:sz w:val="20"/>
          <w:szCs w:val="20"/>
          <w:color w:val="auto"/>
        </w:rPr>
      </w:pPr>
    </w:p>
    <w:p>
      <w:pPr>
        <w:jc w:val="both"/>
        <w:spacing w:after="0" w:line="282" w:lineRule="auto"/>
        <w:rPr>
          <w:sz w:val="20"/>
          <w:szCs w:val="20"/>
          <w:color w:val="auto"/>
        </w:rPr>
      </w:pPr>
      <w:r>
        <w:rPr>
          <w:rFonts w:ascii="Arial" w:cs="Arial" w:eastAsia="Arial" w:hAnsi="Arial"/>
          <w:sz w:val="18"/>
          <w:szCs w:val="18"/>
          <w:b w:val="1"/>
          <w:bCs w:val="1"/>
          <w:color w:val="auto"/>
        </w:rPr>
        <w:t xml:space="preserve">Panama City, Republic of Panama, December 18, 2017 </w:t>
      </w:r>
      <w:r>
        <w:rPr>
          <w:rFonts w:ascii="Arial" w:cs="Arial" w:eastAsia="Arial" w:hAnsi="Arial"/>
          <w:sz w:val="18"/>
          <w:szCs w:val="18"/>
          <w:color w:val="auto"/>
        </w:rPr>
        <w:t>– Banco Latinoamericano de Comercio Exterior, S.A. (“Bladex” or the “Bank”) (NYSE: BLX),</w:t>
      </w:r>
      <w:r>
        <w:rPr>
          <w:rFonts w:ascii="Arial" w:cs="Arial" w:eastAsia="Arial" w:hAnsi="Arial"/>
          <w:sz w:val="18"/>
          <w:szCs w:val="18"/>
          <w:b w:val="1"/>
          <w:bCs w:val="1"/>
          <w:color w:val="auto"/>
        </w:rPr>
        <w:t xml:space="preserve"> </w:t>
      </w:r>
      <w:r>
        <w:rPr>
          <w:rFonts w:ascii="Arial" w:cs="Arial" w:eastAsia="Arial" w:hAnsi="Arial"/>
          <w:sz w:val="18"/>
          <w:szCs w:val="18"/>
          <w:color w:val="auto"/>
        </w:rPr>
        <w:t>announced today the departure of Mr. Christopher Schech, Chief Financial Officer (“CFO”).</w:t>
      </w:r>
    </w:p>
    <w:p>
      <w:pPr>
        <w:spacing w:after="0" w:line="166"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Mr. Christopher Schech leaves Bladex after 8 years of service to pursue other opportunities. He will be replaced by Mrs. Ana Graciela de Méndez, currently Senior Vice President of Finance of Bladex, as part of the succession plan of the Organization. Mrs. Ana Graciela de Méndez, as the new CFO, will assume responsibility for the Bank’s financial management, as well as the interaction with rating agencies, shareholders, and investors.</w:t>
      </w:r>
    </w:p>
    <w:p>
      <w:pPr>
        <w:spacing w:after="0" w:line="166"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Mrs. Ana Graciela de Méndez joined the Bank in 1990 and has served as Senior Vice President of Finance since 2014, overseeing financial planning, budgeting, capital allocation, financial reporting and investor relations. Prior to that, she served in various capacities in Finance and Business Areas of the Bank.</w:t>
      </w:r>
    </w:p>
    <w:p>
      <w:pPr>
        <w:spacing w:after="0" w:line="181"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Mr. Rubens V. Amaral Jr., Bladex's Chief Executive Officer, stated the following, "I would like to thank Christopher Schech for his work and contribution in the last 8 years, to help the Bank to consolidate its relationship with investors and the markets, as well as to strengthen our franchise in the Region. I would like to welcome Ana Graciela de Méndez as part of our Management Team in her new capacity as our CFO. I am very pleased with her appointment to this very senior position at our organization, and I have no doubts that with her leadership and skills the Bank will continue to thrive.”</w:t>
      </w:r>
    </w:p>
    <w:p>
      <w:pPr>
        <w:spacing w:after="0" w:line="17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initiated operations in 1979 to promote foreign trade finance and economic integration in the Region. The Bank, headquartered in Panama, also has offices in Argentina, Brazil, Colombia, Mexico, Peru, and an agency in the United States of America, supporting the regional expansion and servicing its customer base, which includes financial institutions and corporations.</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(ticker symbol: BLX), since 1992, and its shareholders include: central banks, state-owned banks and entities representing 23 Latin American countries, commercial banks and financial institutions; and institutional and retail investors through its public listing.</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For further information, please access our web site on the Internet at www.bladex.com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250430" cy="128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50430" cy="1282065"/>
                    </a:xfrm>
                    <a:prstGeom prst="rect">
                      <a:avLst/>
                    </a:prstGeom>
                    <a:noFill/>
                  </pic:spPr>
                </pic:pic>
              </a:graphicData>
            </a:graphic>
          </wp:anchor>
        </w:drawing>
      </w:r>
    </w:p>
    <w:p>
      <w:pPr>
        <w:spacing w:after="0" w:line="200" w:lineRule="exact"/>
        <w:rPr>
          <w:sz w:val="20"/>
          <w:szCs w:val="20"/>
          <w:color w:val="auto"/>
        </w:rPr>
      </w:pPr>
    </w:p>
    <w:p>
      <w:pPr>
        <w:spacing w:after="0" w:line="262" w:lineRule="exact"/>
        <w:rPr>
          <w:sz w:val="20"/>
          <w:szCs w:val="20"/>
          <w:color w:val="auto"/>
        </w:rPr>
      </w:pPr>
    </w:p>
    <w:p>
      <w:pPr>
        <w:ind w:left="100"/>
        <w:spacing w:after="0"/>
        <w:rPr>
          <w:sz w:val="20"/>
          <w:szCs w:val="20"/>
          <w:color w:val="auto"/>
        </w:rPr>
      </w:pPr>
      <w:r>
        <w:rPr>
          <w:rFonts w:ascii="Arial" w:cs="Arial" w:eastAsia="Arial" w:hAnsi="Arial"/>
          <w:sz w:val="18"/>
          <w:szCs w:val="18"/>
          <w:color w:val="auto"/>
        </w:rPr>
        <w:t>Mrs. Ana Graciela de Méndez - Chief Financial Officer</w:t>
      </w:r>
    </w:p>
    <w:p>
      <w:pPr>
        <w:spacing w:after="0" w:line="23" w:lineRule="exact"/>
        <w:rPr>
          <w:sz w:val="20"/>
          <w:szCs w:val="20"/>
          <w:color w:val="auto"/>
        </w:rPr>
      </w:pPr>
    </w:p>
    <w:p>
      <w:pPr>
        <w:ind w:left="100"/>
        <w:spacing w:after="0"/>
        <w:rPr>
          <w:sz w:val="20"/>
          <w:szCs w:val="20"/>
          <w:color w:val="auto"/>
        </w:rPr>
      </w:pPr>
      <w:r>
        <w:rPr>
          <w:rFonts w:ascii="Arial" w:cs="Arial" w:eastAsia="Arial" w:hAnsi="Arial"/>
          <w:sz w:val="18"/>
          <w:szCs w:val="18"/>
          <w:color w:val="auto"/>
        </w:rPr>
        <w:t>E-mail address: amendez@bladex.com Tel.: (+507) 210-8671</w:t>
      </w:r>
    </w:p>
    <w:p>
      <w:pPr>
        <w:spacing w:after="0" w:line="211" w:lineRule="exact"/>
        <w:rPr>
          <w:sz w:val="20"/>
          <w:szCs w:val="20"/>
          <w:color w:val="auto"/>
        </w:rPr>
      </w:pPr>
    </w:p>
    <w:p>
      <w:pPr>
        <w:ind w:left="100" w:right="4580"/>
        <w:spacing w:after="0" w:line="277" w:lineRule="auto"/>
        <w:rPr>
          <w:sz w:val="20"/>
          <w:szCs w:val="20"/>
          <w:color w:val="auto"/>
        </w:rPr>
      </w:pPr>
      <w:r>
        <w:rPr>
          <w:rFonts w:ascii="Arial" w:cs="Arial" w:eastAsia="Arial" w:hAnsi="Arial"/>
          <w:sz w:val="18"/>
          <w:szCs w:val="18"/>
          <w:color w:val="auto"/>
        </w:rPr>
        <w:t xml:space="preserve">Irma Garrido Arango - Senior Vice-president, Corporate Development and Investor Relations E-mail address: </w:t>
      </w:r>
      <w:r>
        <w:rPr>
          <w:rFonts w:ascii="Arial" w:cs="Arial" w:eastAsia="Arial" w:hAnsi="Arial"/>
          <w:sz w:val="18"/>
          <w:szCs w:val="18"/>
          <w:u w:val="single" w:color="auto"/>
          <w:color w:val="auto"/>
        </w:rPr>
        <w:t>igarrido@bladex.com</w:t>
      </w:r>
      <w:r>
        <w:rPr>
          <w:rFonts w:ascii="Arial" w:cs="Arial" w:eastAsia="Arial" w:hAnsi="Arial"/>
          <w:sz w:val="18"/>
          <w:szCs w:val="18"/>
          <w:color w:val="auto"/>
        </w:rPr>
        <w:t>, Tel.: (+507) 210-8559</w:t>
      </w:r>
    </w:p>
    <w:p>
      <w:pPr>
        <w:spacing w:after="0" w:line="170" w:lineRule="exact"/>
        <w:rPr>
          <w:sz w:val="20"/>
          <w:szCs w:val="20"/>
          <w:color w:val="auto"/>
        </w:rPr>
      </w:pPr>
    </w:p>
    <w:p>
      <w:pPr>
        <w:ind w:left="100"/>
        <w:spacing w:after="0"/>
        <w:rPr>
          <w:sz w:val="20"/>
          <w:szCs w:val="20"/>
          <w:color w:val="auto"/>
        </w:rPr>
      </w:pPr>
      <w:r>
        <w:rPr>
          <w:rFonts w:ascii="Arial" w:cs="Arial" w:eastAsia="Arial" w:hAnsi="Arial"/>
          <w:sz w:val="18"/>
          <w:szCs w:val="18"/>
          <w:color w:val="auto"/>
        </w:rPr>
        <w:t>Bladex Head Office Address: Torre V, Business Park, Ave. La Rotonda, Urb. Costa del Este, 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606425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1175"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2020-01-19T01:47:36Z</dcterms:created>
  <dcterms:modified xsi:type="dcterms:W3CDTF">2020-01-19T01:47:36Z</dcterms:modified>
</cp:coreProperties>
</file>